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68" w:rsidRPr="008D60B1" w:rsidRDefault="00F74468" w:rsidP="00F74468">
      <w:pPr>
        <w:spacing w:after="0" w:line="360" w:lineRule="auto"/>
        <w:jc w:val="both"/>
        <w:rPr>
          <w:rFonts w:ascii="Palatino Linotype" w:hAnsi="Palatino Linotype"/>
          <w:b/>
        </w:rPr>
      </w:pPr>
      <w:r w:rsidRPr="008D60B1">
        <w:rPr>
          <w:rFonts w:ascii="Palatino Linotype" w:hAnsi="Palatino Linotype"/>
          <w:b/>
        </w:rPr>
        <w:t>VOTO PARTICULAR QUE FORMULA EL COMISIONADO</w:t>
      </w:r>
      <w:bookmarkStart w:id="0" w:name="_GoBack"/>
      <w:bookmarkEnd w:id="0"/>
      <w:r w:rsidRPr="008D60B1">
        <w:rPr>
          <w:rFonts w:ascii="Palatino Linotype" w:hAnsi="Palatino Linotype"/>
          <w:b/>
        </w:rPr>
        <w:t xml:space="preserve"> JAVIER MARTÍNEZ CRUZ, EN RELACIÓN CON LA RESOLUCIÓN DICTADA POR EL PLENO DEL INSTITUTO DE TRANSPARENCIA, ACCESO A LA INFORMACIÓN PÚBLICA Y PROTECCIÓN DE DATOS PERSONALES DEL ESTADO </w:t>
      </w:r>
      <w:r w:rsidR="00D22E21">
        <w:rPr>
          <w:rFonts w:ascii="Palatino Linotype" w:hAnsi="Palatino Linotype"/>
          <w:b/>
        </w:rPr>
        <w:t xml:space="preserve">DE MÉXICO Y MUNICIPIOS, EN LA </w:t>
      </w:r>
      <w:r w:rsidR="004043CD">
        <w:rPr>
          <w:rFonts w:ascii="Palatino Linotype" w:hAnsi="Palatino Linotype"/>
          <w:b/>
        </w:rPr>
        <w:t xml:space="preserve">DÉCIMA </w:t>
      </w:r>
      <w:r w:rsidR="00D22E21">
        <w:rPr>
          <w:rFonts w:ascii="Palatino Linotype" w:hAnsi="Palatino Linotype"/>
          <w:b/>
        </w:rPr>
        <w:t>OCTAVA</w:t>
      </w:r>
      <w:r w:rsidRPr="008D60B1">
        <w:rPr>
          <w:rFonts w:ascii="Palatino Linotype" w:hAnsi="Palatino Linotype"/>
          <w:b/>
        </w:rPr>
        <w:t xml:space="preserve"> SESIÓN ORDINARIA </w:t>
      </w:r>
      <w:r w:rsidR="004043CD" w:rsidRPr="008D60B1">
        <w:rPr>
          <w:rFonts w:ascii="Palatino Linotype" w:hAnsi="Palatino Linotype"/>
          <w:b/>
        </w:rPr>
        <w:t xml:space="preserve">DEL </w:t>
      </w:r>
      <w:r w:rsidR="004043CD">
        <w:rPr>
          <w:rFonts w:ascii="Palatino Linotype" w:hAnsi="Palatino Linotype"/>
          <w:b/>
        </w:rPr>
        <w:t>CATORCE</w:t>
      </w:r>
      <w:r w:rsidR="004043CD" w:rsidRPr="008D60B1">
        <w:rPr>
          <w:rFonts w:ascii="Palatino Linotype" w:hAnsi="Palatino Linotype"/>
          <w:b/>
        </w:rPr>
        <w:t xml:space="preserve"> </w:t>
      </w:r>
      <w:r w:rsidR="004043CD">
        <w:rPr>
          <w:rFonts w:ascii="Palatino Linotype" w:hAnsi="Palatino Linotype"/>
          <w:b/>
        </w:rPr>
        <w:t xml:space="preserve">DE MAYO </w:t>
      </w:r>
      <w:r w:rsidR="004043CD" w:rsidRPr="008D60B1">
        <w:rPr>
          <w:rFonts w:ascii="Palatino Linotype" w:hAnsi="Palatino Linotype"/>
          <w:b/>
        </w:rPr>
        <w:t xml:space="preserve">DE DOS </w:t>
      </w:r>
      <w:r w:rsidR="004043CD">
        <w:rPr>
          <w:rFonts w:ascii="Palatino Linotype" w:hAnsi="Palatino Linotype"/>
          <w:b/>
        </w:rPr>
        <w:t>MIL DIECINUEVE</w:t>
      </w:r>
      <w:r w:rsidR="00D22E21">
        <w:rPr>
          <w:rFonts w:ascii="Palatino Linotype" w:hAnsi="Palatino Linotype"/>
          <w:b/>
        </w:rPr>
        <w:t>,</w:t>
      </w:r>
      <w:r w:rsidR="004043CD">
        <w:rPr>
          <w:rFonts w:ascii="Palatino Linotype" w:hAnsi="Palatino Linotype"/>
          <w:b/>
        </w:rPr>
        <w:t xml:space="preserve"> EN LOS RECURSOS DE REVISIÓN 01102/INFOEM/IP/RR/2019 y </w:t>
      </w:r>
      <w:r w:rsidR="004043CD">
        <w:rPr>
          <w:rFonts w:ascii="Palatino Linotype" w:hAnsi="Palatino Linotype"/>
          <w:b/>
        </w:rPr>
        <w:t>01102/INFOEM/IP/RR/2019</w:t>
      </w:r>
      <w:r w:rsidR="004043CD">
        <w:rPr>
          <w:rFonts w:ascii="Palatino Linotype" w:hAnsi="Palatino Linotype"/>
          <w:b/>
        </w:rPr>
        <w:t>.</w:t>
      </w:r>
    </w:p>
    <w:p w:rsidR="00F74468" w:rsidRPr="008D60B1" w:rsidRDefault="00F74468" w:rsidP="00F74468">
      <w:pPr>
        <w:spacing w:after="0" w:line="240" w:lineRule="auto"/>
        <w:jc w:val="both"/>
        <w:rPr>
          <w:rFonts w:ascii="Palatino Linotype" w:hAnsi="Palatino Linotype"/>
          <w:b/>
        </w:rPr>
      </w:pPr>
    </w:p>
    <w:p w:rsidR="00D22E21" w:rsidRDefault="00F74468" w:rsidP="00F74468">
      <w:pPr>
        <w:spacing w:after="0" w:line="360" w:lineRule="auto"/>
        <w:jc w:val="both"/>
        <w:rPr>
          <w:rFonts w:ascii="Palatino Linotype" w:hAnsi="Palatino Linotype"/>
        </w:rPr>
      </w:pPr>
      <w:r w:rsidRPr="008D60B1">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8D60B1">
        <w:rPr>
          <w:rFonts w:ascii="Palatino Linotype" w:hAnsi="Palatino Linotype"/>
          <w:b/>
        </w:rPr>
        <w:t xml:space="preserve">VOTO PARTICULAR </w:t>
      </w:r>
      <w:r w:rsidRPr="008D60B1">
        <w:rPr>
          <w:rFonts w:ascii="Palatino Linotype" w:hAnsi="Palatino Linotype"/>
        </w:rPr>
        <w:t>respecto a la resolución dictada en el recurso de revisión número 0</w:t>
      </w:r>
      <w:r w:rsidR="004043CD">
        <w:rPr>
          <w:rFonts w:ascii="Palatino Linotype" w:hAnsi="Palatino Linotype"/>
        </w:rPr>
        <w:t>1102/INFOEM/IP/RR/2019 y acumulado</w:t>
      </w:r>
      <w:r w:rsidRPr="008D60B1">
        <w:rPr>
          <w:rFonts w:ascii="Palatino Linotype" w:hAnsi="Palatino Linotype"/>
        </w:rPr>
        <w:t>, pronunciada por el Pleno de este Instituto an</w:t>
      </w:r>
      <w:r w:rsidR="00D22E21">
        <w:rPr>
          <w:rFonts w:ascii="Palatino Linotype" w:hAnsi="Palatino Linotype"/>
        </w:rPr>
        <w:t xml:space="preserve">te el proyecto presentado por la Comisionada presidenta </w:t>
      </w:r>
      <w:r w:rsidR="004043CD">
        <w:rPr>
          <w:rFonts w:ascii="Palatino Linotype" w:hAnsi="Palatino Linotype"/>
        </w:rPr>
        <w:t>Eva Abaid Yapur</w:t>
      </w:r>
      <w:r w:rsidR="00D22E21">
        <w:rPr>
          <w:rFonts w:ascii="Palatino Linotype" w:hAnsi="Palatino Linotype"/>
        </w:rPr>
        <w:t>.</w:t>
      </w:r>
    </w:p>
    <w:p w:rsidR="00D22E21" w:rsidRPr="008D60B1" w:rsidRDefault="00D22E21" w:rsidP="00F74468">
      <w:pPr>
        <w:spacing w:after="0" w:line="360" w:lineRule="auto"/>
        <w:jc w:val="both"/>
        <w:rPr>
          <w:rFonts w:ascii="Palatino Linotype" w:hAnsi="Palatino Linotype"/>
        </w:rPr>
      </w:pPr>
    </w:p>
    <w:p w:rsidR="00F74468" w:rsidRDefault="00F74468" w:rsidP="00F74468">
      <w:pPr>
        <w:spacing w:after="0" w:line="360" w:lineRule="auto"/>
        <w:jc w:val="both"/>
        <w:rPr>
          <w:rFonts w:ascii="Palatino Linotype" w:hAnsi="Palatino Linotype"/>
        </w:rPr>
      </w:pPr>
      <w:r w:rsidRPr="008D60B1">
        <w:rPr>
          <w:rFonts w:ascii="Palatino Linotype" w:hAnsi="Palatino Linotype"/>
        </w:rPr>
        <w:t>Antes de platear el punto sobre el cual versa el presente voto, es de suma importancia mencionar que el suscrito en términos generales coincide en el sentido de la resolución del recurso de revisión al rubro indicado, lo anterior es así como a continuación se explica:</w:t>
      </w:r>
    </w:p>
    <w:p w:rsidR="00C230BA" w:rsidRPr="008D60B1" w:rsidRDefault="00C230BA" w:rsidP="00F74468">
      <w:pPr>
        <w:spacing w:after="0" w:line="360" w:lineRule="auto"/>
        <w:jc w:val="both"/>
        <w:rPr>
          <w:rFonts w:ascii="Palatino Linotype" w:hAnsi="Palatino Linotype"/>
        </w:rPr>
      </w:pPr>
    </w:p>
    <w:p w:rsidR="004043CD" w:rsidRDefault="0036116F" w:rsidP="00CD4BA4">
      <w:pPr>
        <w:spacing w:before="240" w:after="240" w:line="360" w:lineRule="auto"/>
        <w:contextualSpacing/>
        <w:jc w:val="both"/>
        <w:rPr>
          <w:rFonts w:ascii="Palatino Linotype" w:hAnsi="Palatino Linotype"/>
        </w:rPr>
      </w:pPr>
      <w:r w:rsidRPr="008D60B1">
        <w:rPr>
          <w:rFonts w:ascii="Palatino Linotype" w:hAnsi="Palatino Linotype"/>
        </w:rPr>
        <w:t xml:space="preserve">De manera previa a la emisión del presente voto, cabe precisar que la materia en que radicó el recurso de revisión, lo fue en que se proporcionara por parte del Ayuntamiento de </w:t>
      </w:r>
      <w:r w:rsidR="004043CD">
        <w:rPr>
          <w:rFonts w:ascii="Palatino Linotype" w:hAnsi="Palatino Linotype"/>
        </w:rPr>
        <w:t>Tonanitla</w:t>
      </w:r>
      <w:r w:rsidRPr="008D60B1">
        <w:rPr>
          <w:rFonts w:ascii="Palatino Linotype" w:hAnsi="Palatino Linotype"/>
        </w:rPr>
        <w:t xml:space="preserve">, </w:t>
      </w:r>
      <w:r w:rsidR="004043CD">
        <w:rPr>
          <w:rFonts w:ascii="Palatino Linotype" w:hAnsi="Palatino Linotype"/>
        </w:rPr>
        <w:t>lo siguiente:</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lastRenderedPageBreak/>
        <w:t>Solicito</w:t>
      </w:r>
      <w:r w:rsidRPr="00002C72">
        <w:rPr>
          <w:rFonts w:ascii="Palatino Linotype" w:hAnsi="Palatino Linotype" w:cs="Arial"/>
          <w:i/>
        </w:rPr>
        <w:t xml:space="preserve"> copia debidamente certificada, tanto de manera documental física, como en copia simple en format</w:t>
      </w:r>
      <w:r>
        <w:rPr>
          <w:rFonts w:ascii="Palatino Linotype" w:hAnsi="Palatino Linotype" w:cs="Arial"/>
          <w:i/>
        </w:rPr>
        <w:t>o PDF la siguiente información:</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t>1. El acta de la sesión de cabildo en la que se autorizaron los sueldos para el cabildo en fun</w:t>
      </w:r>
      <w:r>
        <w:rPr>
          <w:rFonts w:ascii="Palatino Linotype" w:hAnsi="Palatino Linotype" w:cs="Arial"/>
          <w:i/>
        </w:rPr>
        <w:t>ciones.</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t xml:space="preserve">2. El Acta de sesión de cabildo donde autorizan los sueldos para el personal administrativo, desde Directores, subdirectores, </w:t>
      </w:r>
      <w:r>
        <w:rPr>
          <w:rFonts w:ascii="Palatino Linotype" w:hAnsi="Palatino Linotype" w:cs="Arial"/>
          <w:i/>
        </w:rPr>
        <w:t>coordinadores y demás personal.</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t>3. El Perfil académico con que cuentan los directores, Subdirectores, Coordinadores y demás personal. 4. El tercer informe del presidente municipal que fungi</w:t>
      </w:r>
      <w:r>
        <w:rPr>
          <w:rFonts w:ascii="Palatino Linotype" w:hAnsi="Palatino Linotype" w:cs="Arial"/>
          <w:i/>
        </w:rPr>
        <w:t>ó en el periodo próximo pasado.</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t>5. El estado financiero tanto del municipio como de la tesorería que había al con</w:t>
      </w:r>
      <w:r>
        <w:rPr>
          <w:rFonts w:ascii="Palatino Linotype" w:hAnsi="Palatino Linotype" w:cs="Arial"/>
          <w:i/>
        </w:rPr>
        <w:t>cluir la administración pasada.</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t>6. El estado de las cuentas bancarias al fina</w:t>
      </w:r>
      <w:r>
        <w:rPr>
          <w:rFonts w:ascii="Palatino Linotype" w:hAnsi="Palatino Linotype" w:cs="Arial"/>
          <w:i/>
        </w:rPr>
        <w:t>lizar la administración pasada.</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t>7. El Estado de cuenta de los meses de noviembre y diciembre de 2018 de las cuentas bancarias que tiene el municipio o que te</w:t>
      </w:r>
      <w:r>
        <w:rPr>
          <w:rFonts w:ascii="Palatino Linotype" w:hAnsi="Palatino Linotype" w:cs="Arial"/>
          <w:i/>
        </w:rPr>
        <w:t>nía la administración anterior.</w:t>
      </w:r>
    </w:p>
    <w:p w:rsidR="004043CD" w:rsidRDefault="004043CD" w:rsidP="00CD4BA4">
      <w:pPr>
        <w:spacing w:before="240" w:after="240" w:line="360" w:lineRule="auto"/>
        <w:contextualSpacing/>
        <w:jc w:val="both"/>
        <w:rPr>
          <w:rFonts w:ascii="Palatino Linotype" w:hAnsi="Palatino Linotype" w:cs="Arial"/>
          <w:i/>
        </w:rPr>
      </w:pPr>
      <w:r w:rsidRPr="00002C72">
        <w:rPr>
          <w:rFonts w:ascii="Palatino Linotype" w:hAnsi="Palatino Linotype" w:cs="Arial"/>
          <w:i/>
        </w:rPr>
        <w:t>8. Que se me diga como se administran los puestos del tianguis nocturno, así como quien otorga los permisos, cuanto se cobra por metro cuadrado y/o puesto; cuanto recaba de manera semanal la administración municipal; cuantos puestos existen; cuántas organizaciones de comerciantes hay, así como quien las dirige</w:t>
      </w:r>
      <w:r>
        <w:rPr>
          <w:rFonts w:ascii="Palatino Linotype" w:hAnsi="Palatino Linotype" w:cs="Arial"/>
          <w:i/>
        </w:rPr>
        <w:t>.</w:t>
      </w:r>
    </w:p>
    <w:p w:rsidR="004043CD" w:rsidRDefault="004043CD" w:rsidP="00CD4BA4">
      <w:pPr>
        <w:spacing w:before="240" w:after="240" w:line="360" w:lineRule="auto"/>
        <w:contextualSpacing/>
        <w:jc w:val="both"/>
        <w:rPr>
          <w:rFonts w:ascii="Palatino Linotype" w:hAnsi="Palatino Linotype" w:cs="Arial"/>
          <w:i/>
        </w:rPr>
      </w:pPr>
    </w:p>
    <w:p w:rsidR="00CD4BA4" w:rsidRDefault="004043CD" w:rsidP="00CD4BA4">
      <w:pPr>
        <w:spacing w:before="240" w:after="240" w:line="360" w:lineRule="auto"/>
        <w:contextualSpacing/>
        <w:jc w:val="both"/>
        <w:rPr>
          <w:rFonts w:ascii="Palatino Linotype" w:hAnsi="Palatino Linotype"/>
        </w:rPr>
      </w:pPr>
      <w:r>
        <w:rPr>
          <w:rFonts w:ascii="Palatino Linotype" w:hAnsi="Palatino Linotype"/>
        </w:rPr>
        <w:t>A</w:t>
      </w:r>
      <w:r w:rsidR="0036116F" w:rsidRPr="008D60B1">
        <w:rPr>
          <w:rFonts w:ascii="Palatino Linotype" w:hAnsi="Palatino Linotype"/>
        </w:rPr>
        <w:t>l respecto, dicho Sujeto Obligado fue omiso en otorgar una respuesta, por lo que transcurrido el plazo concedido para cumplir con ello de conformidad al artículo 163 de la Ley de Transparencia y Acceso a la Información Pública del Estado de México y Municipios, la recurrente presentó su recurso de re</w:t>
      </w:r>
      <w:r w:rsidR="00CD4BA4">
        <w:rPr>
          <w:rFonts w:ascii="Palatino Linotype" w:hAnsi="Palatino Linotype"/>
        </w:rPr>
        <w:t xml:space="preserve">visión, quejándose </w:t>
      </w:r>
      <w:r>
        <w:rPr>
          <w:rFonts w:ascii="Palatino Linotype" w:hAnsi="Palatino Linotype"/>
        </w:rPr>
        <w:t>por la falta de respuesta.</w:t>
      </w:r>
    </w:p>
    <w:p w:rsidR="00CD4BA4" w:rsidRPr="008D60B1" w:rsidRDefault="00CD4BA4" w:rsidP="00CD4BA4">
      <w:pPr>
        <w:spacing w:before="240" w:after="240" w:line="360" w:lineRule="auto"/>
        <w:contextualSpacing/>
        <w:jc w:val="both"/>
        <w:rPr>
          <w:rFonts w:ascii="Palatino Linotype" w:hAnsi="Palatino Linotype"/>
        </w:rPr>
      </w:pP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lastRenderedPageBreak/>
        <w:t>Aunado a lo anterior el Sujeto Obligado fue omiso en presentar su informe justificado, ofrecer pruebas, o presentar alegato alguno; esto es, fue totalmente remiso en emitir pronunciamiento respecto de la solicitud de información que le fue formulada.</w:t>
      </w:r>
    </w:p>
    <w:p w:rsidR="00783812" w:rsidRPr="004043CD" w:rsidRDefault="00783812" w:rsidP="004043CD">
      <w:pPr>
        <w:spacing w:line="360" w:lineRule="auto"/>
        <w:jc w:val="both"/>
        <w:rPr>
          <w:rFonts w:ascii="Palatino Linotype" w:hAnsi="Palatino Linotype"/>
          <w:shd w:val="clear" w:color="auto" w:fill="FFFFFF"/>
        </w:rPr>
      </w:pPr>
      <w:r>
        <w:rPr>
          <w:rFonts w:ascii="Palatino Linotype" w:hAnsi="Palatino Linotype"/>
        </w:rPr>
        <w:t>Así las cosas la Comisionada</w:t>
      </w:r>
      <w:r w:rsidR="0036116F" w:rsidRPr="008D60B1">
        <w:rPr>
          <w:rFonts w:ascii="Palatino Linotype" w:hAnsi="Palatino Linotype"/>
        </w:rPr>
        <w:t xml:space="preserve"> ponente</w:t>
      </w:r>
      <w:r w:rsidR="0036116F" w:rsidRPr="00783812">
        <w:rPr>
          <w:rFonts w:ascii="Palatino Linotype" w:hAnsi="Palatino Linotype"/>
        </w:rPr>
        <w:t xml:space="preserve">, en la resolución </w:t>
      </w:r>
      <w:r w:rsidR="0036116F" w:rsidRPr="008D60B1">
        <w:rPr>
          <w:rFonts w:ascii="Palatino Linotype" w:hAnsi="Palatino Linotype"/>
        </w:rPr>
        <w:t>presentada ante</w:t>
      </w:r>
      <w:r>
        <w:rPr>
          <w:rFonts w:ascii="Palatino Linotype" w:hAnsi="Palatino Linotype"/>
        </w:rPr>
        <w:t xml:space="preserve"> el Pleno de este Instituto, considera fundados los motivos de inconformidad hechos valer por la recurrente y ordena </w:t>
      </w:r>
      <w:r w:rsidR="004043CD" w:rsidRPr="00002C72">
        <w:rPr>
          <w:rFonts w:ascii="Palatino Linotype" w:hAnsi="Palatino Linotype" w:cs="Arial"/>
        </w:rPr>
        <w:t>vía</w:t>
      </w:r>
      <w:r w:rsidR="004043CD" w:rsidRPr="00002C72">
        <w:rPr>
          <w:rFonts w:ascii="Palatino Linotype" w:hAnsi="Palatino Linotype" w:cs="Arial"/>
          <w:b/>
        </w:rPr>
        <w:t xml:space="preserve"> Correo Electrónico </w:t>
      </w:r>
      <w:r w:rsidR="004043CD" w:rsidRPr="00002C72">
        <w:rPr>
          <w:rFonts w:ascii="Palatino Linotype" w:hAnsi="Palatino Linotype" w:cs="Arial"/>
        </w:rPr>
        <w:t xml:space="preserve">y en </w:t>
      </w:r>
      <w:r w:rsidR="004043CD" w:rsidRPr="00002C72">
        <w:rPr>
          <w:rFonts w:ascii="Palatino Linotype" w:hAnsi="Palatino Linotype" w:cs="Arial"/>
          <w:b/>
        </w:rPr>
        <w:t>copias certificadas (con costo)</w:t>
      </w:r>
      <w:r w:rsidR="004043CD" w:rsidRPr="00002C72">
        <w:rPr>
          <w:rFonts w:ascii="Palatino Linotype" w:hAnsi="Palatino Linotype" w:cs="Arial"/>
        </w:rPr>
        <w:t>,</w:t>
      </w:r>
      <w:r w:rsidR="004043CD" w:rsidRPr="00002C72">
        <w:rPr>
          <w:rFonts w:ascii="Palatino Linotype" w:hAnsi="Palatino Linotype" w:cs="Arial"/>
          <w:b/>
        </w:rPr>
        <w:t xml:space="preserve"> </w:t>
      </w:r>
      <w:r w:rsidR="004043CD" w:rsidRPr="00002C72">
        <w:rPr>
          <w:rFonts w:ascii="Palatino Linotype" w:hAnsi="Palatino Linotype" w:cs="Arial"/>
        </w:rPr>
        <w:t xml:space="preserve">de ser procedente en </w:t>
      </w:r>
      <w:r w:rsidR="004043CD" w:rsidRPr="00002C72">
        <w:rPr>
          <w:rFonts w:ascii="Palatino Linotype" w:hAnsi="Palatino Linotype" w:cs="Arial"/>
          <w:b/>
        </w:rPr>
        <w:t xml:space="preserve">versión pública </w:t>
      </w:r>
      <w:r w:rsidR="004043CD" w:rsidRPr="00002C72">
        <w:rPr>
          <w:rFonts w:ascii="Palatino Linotype" w:hAnsi="Palatino Linotype" w:cs="Arial"/>
        </w:rPr>
        <w:t>y formato PDF o el formato en que se encuentre, de lo siguiente</w:t>
      </w:r>
      <w:r w:rsidR="004043CD" w:rsidRPr="00002C72">
        <w:rPr>
          <w:rFonts w:ascii="Palatino Linotype" w:hAnsi="Palatino Linotype"/>
          <w:shd w:val="clear" w:color="auto" w:fill="FFFFFF"/>
        </w:rPr>
        <w:t>:</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“1. El acta de la sesión de cabildo en la que se autorizaron los sueldos para los integrantes del cabildo y de todo el personal que integra la Administración Pública Municipal 2019-2021.</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 xml:space="preserve">2.- El documento donde conste el perfil académico con que cuentan todos los servidores públicos adscritos al Municipio de Tonanitla, al 28 de enero de 2019. </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3. El tercer informe del Presidente Municipal de la Administración Pública Municipal 2016-2018.</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4. El Estado de Situación Financiera y Conciliación Bancaria del Municipio del mes de diciembre de 2018.</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5. Los Estados de Cuenta Bancarios del Municipio proporcionados por las Instituciones Bancarias de los meses de noviembre y diciembre de 2018.</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6. Documento o documentos donde conste como se administran los puestos del tianguis nocturno, así como el monto por concepto del permiso o autorización para colocar un puesto.</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7. Documento o documentos donde conste el servidor público responsable de otorgar los permisos o autorizaciones para colocar puestos en el tianguis nocturno, al 28 de enero de 2019</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8. Documento donde conste el monto recaudado semanalmente o por el periodo que se genere, por concepto de derecho de piso, respecto del tianguis nocturno, del 28 de enero de 2018 al 28 de enero de 2019</w:t>
      </w:r>
    </w:p>
    <w:p w:rsidR="004043CD" w:rsidRPr="00002C72" w:rsidRDefault="004043CD" w:rsidP="004043CD">
      <w:pPr>
        <w:spacing w:before="240" w:after="240" w:line="240" w:lineRule="auto"/>
        <w:ind w:left="851" w:right="902"/>
        <w:contextualSpacing/>
        <w:jc w:val="both"/>
        <w:rPr>
          <w:rFonts w:ascii="Palatino Linotype" w:hAnsi="Palatino Linotype" w:cs="Arial"/>
          <w:i/>
          <w:lang w:val="es-ES"/>
        </w:rPr>
      </w:pPr>
      <w:r w:rsidRPr="00002C72">
        <w:rPr>
          <w:rFonts w:ascii="Palatino Linotype" w:hAnsi="Palatino Linotype" w:cs="Arial"/>
          <w:i/>
        </w:rPr>
        <w:lastRenderedPageBreak/>
        <w:t>9. Documento o documentos donde conste el número de puestos establecidos en el tianguis nocturno al 28 de enero de 2019.</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10. Documento o documentos que den cuenta del número de organizaciones de comerciantes registrados ante la Administración Pública Municipal al 28 de enero de 2019.</w:t>
      </w:r>
    </w:p>
    <w:p w:rsidR="004043CD" w:rsidRPr="00002C72" w:rsidRDefault="004043CD" w:rsidP="004043CD">
      <w:pPr>
        <w:spacing w:before="240" w:after="240" w:line="240" w:lineRule="auto"/>
        <w:ind w:left="851" w:right="902"/>
        <w:contextualSpacing/>
        <w:jc w:val="both"/>
        <w:rPr>
          <w:rFonts w:ascii="Palatino Linotype" w:hAnsi="Palatino Linotype" w:cs="Arial"/>
          <w:i/>
        </w:rPr>
      </w:pPr>
      <w:r w:rsidRPr="00002C72">
        <w:rPr>
          <w:rFonts w:ascii="Palatino Linotype" w:hAnsi="Palatino Linotype" w:cs="Arial"/>
          <w:i/>
        </w:rPr>
        <w:t>11. El nombre de los dirigentes de las organizaciones de comerciantes referidas en el numeral anterior, en el caso de que les haya sido otorgado un permiso o autorización, o bien, hayan recibido recursos públicos</w:t>
      </w:r>
      <w:r w:rsidRPr="00002C72">
        <w:rPr>
          <w:rFonts w:ascii="Palatino Linotype" w:hAnsi="Palatino Linotype" w:cs="Arial"/>
          <w:b/>
          <w:i/>
        </w:rPr>
        <w:t xml:space="preserve"> </w:t>
      </w:r>
      <w:r w:rsidRPr="00002C72">
        <w:rPr>
          <w:rFonts w:ascii="Palatino Linotype" w:hAnsi="Palatino Linotype" w:cs="Arial"/>
          <w:i/>
        </w:rPr>
        <w:t xml:space="preserve">por parte del </w:t>
      </w:r>
      <w:r w:rsidRPr="00002C72">
        <w:rPr>
          <w:rFonts w:ascii="Palatino Linotype" w:hAnsi="Palatino Linotype" w:cs="Arial"/>
          <w:b/>
          <w:i/>
        </w:rPr>
        <w:t>SUJETO OBLIGADO</w:t>
      </w:r>
      <w:r w:rsidRPr="00002C72">
        <w:rPr>
          <w:rFonts w:ascii="Palatino Linotype" w:hAnsi="Palatino Linotype" w:cs="Arial"/>
          <w:i/>
        </w:rPr>
        <w:t>; en caso contrario, el Acuerdo de Clasificación que apruebe el Comité de Transparencia en términos del artículo 143, fracción I de la Ley de la Transparencia y Acceso a la Información Pública del Estado de México y Municipios, en el que se funde y motive la clasificación como confidencial de dicha información.</w:t>
      </w:r>
    </w:p>
    <w:p w:rsidR="004043CD" w:rsidRPr="00002C72" w:rsidRDefault="004043CD" w:rsidP="004043CD">
      <w:pPr>
        <w:spacing w:before="240" w:after="360" w:line="240" w:lineRule="auto"/>
        <w:ind w:left="851" w:right="902"/>
        <w:contextualSpacing/>
        <w:jc w:val="both"/>
        <w:rPr>
          <w:rFonts w:ascii="Palatino Linotype" w:hAnsi="Palatino Linotype" w:cs="Arial"/>
          <w:i/>
          <w:lang w:eastAsia="es-MX"/>
        </w:rPr>
      </w:pPr>
      <w:r w:rsidRPr="00002C72">
        <w:rPr>
          <w:rFonts w:ascii="Palatino Linotype" w:hAnsi="Palatino Linotype" w:cs="Arial"/>
          <w:i/>
          <w:lang w:eastAsia="es-MX"/>
        </w:rPr>
        <w:t>Para el caso de que no cuente con la información señalada en los numerales 10 y 11, bastará con hacerlo del conocimiento del particular.</w:t>
      </w:r>
    </w:p>
    <w:p w:rsidR="004043CD" w:rsidRPr="00002C72" w:rsidRDefault="004043CD" w:rsidP="004043CD">
      <w:pPr>
        <w:spacing w:before="240" w:after="360" w:line="240" w:lineRule="auto"/>
        <w:ind w:left="851" w:right="902"/>
        <w:contextualSpacing/>
        <w:jc w:val="both"/>
        <w:rPr>
          <w:rFonts w:ascii="Palatino Linotype" w:hAnsi="Palatino Linotype" w:cs="Arial"/>
          <w:i/>
          <w:lang w:eastAsia="es-MX"/>
        </w:rPr>
      </w:pPr>
      <w:r w:rsidRPr="00002C72">
        <w:rPr>
          <w:rFonts w:ascii="Palatino Linotype" w:hAnsi="Palatino Linotype" w:cs="Arial"/>
          <w:i/>
          <w:lang w:eastAsia="es-MX"/>
        </w:rPr>
        <w:t xml:space="preserve">Debiendo notificar al </w:t>
      </w:r>
      <w:r w:rsidRPr="00002C72">
        <w:rPr>
          <w:rFonts w:ascii="Palatino Linotype" w:hAnsi="Palatino Linotype" w:cs="Arial"/>
          <w:b/>
          <w:i/>
          <w:lang w:eastAsia="es-MX"/>
        </w:rPr>
        <w:t>RECURRENTE</w:t>
      </w:r>
      <w:r w:rsidRPr="00002C72">
        <w:rPr>
          <w:rFonts w:ascii="Palatino Linotype" w:hAnsi="Palatino Linotype" w:cs="Arial"/>
          <w:i/>
          <w:lang w:eastAsia="es-MX"/>
        </w:rPr>
        <w:t xml:space="preserve"> el Acuerdo de Clasificación de la información que emita el Comité de Transparencia con motivo de la versión pública.</w:t>
      </w:r>
    </w:p>
    <w:p w:rsidR="004043CD" w:rsidRDefault="004043CD" w:rsidP="004043CD">
      <w:pPr>
        <w:spacing w:before="240" w:after="360" w:line="240" w:lineRule="auto"/>
        <w:ind w:left="851" w:right="902"/>
        <w:contextualSpacing/>
        <w:jc w:val="both"/>
        <w:rPr>
          <w:rFonts w:ascii="Palatino Linotype" w:hAnsi="Palatino Linotype"/>
          <w:i/>
          <w:iCs/>
          <w:color w:val="222222"/>
          <w:shd w:val="clear" w:color="auto" w:fill="FFFFFF"/>
        </w:rPr>
      </w:pPr>
      <w:r w:rsidRPr="00002C72">
        <w:rPr>
          <w:rFonts w:ascii="Palatino Linotype" w:hAnsi="Palatino Linotype"/>
          <w:i/>
          <w:iCs/>
          <w:color w:val="222222"/>
          <w:shd w:val="clear" w:color="auto" w:fill="FFFFFF"/>
        </w:rPr>
        <w:t xml:space="preserve">A efecto de que </w:t>
      </w:r>
      <w:r w:rsidRPr="00002C72">
        <w:rPr>
          <w:rFonts w:ascii="Palatino Linotype" w:hAnsi="Palatino Linotype"/>
          <w:b/>
          <w:i/>
          <w:iCs/>
          <w:color w:val="222222"/>
          <w:shd w:val="clear" w:color="auto" w:fill="FFFFFF"/>
        </w:rPr>
        <w:t>EL SUJETO OBLIGADO</w:t>
      </w:r>
      <w:r w:rsidRPr="00002C72">
        <w:rPr>
          <w:rFonts w:ascii="Palatino Linotype" w:hAnsi="Palatino Linotype"/>
          <w:i/>
          <w:iCs/>
          <w:color w:val="222222"/>
          <w:shd w:val="clear" w:color="auto" w:fill="FFFFFF"/>
        </w:rPr>
        <w:t xml:space="preserve"> dé pleno cumplimiento a lo anterior, es necesario que informe al </w:t>
      </w:r>
      <w:r w:rsidRPr="00002C72">
        <w:rPr>
          <w:rFonts w:ascii="Palatino Linotype" w:hAnsi="Palatino Linotype"/>
          <w:b/>
          <w:i/>
          <w:iCs/>
          <w:color w:val="222222"/>
          <w:shd w:val="clear" w:color="auto" w:fill="FFFFFF"/>
        </w:rPr>
        <w:t>RECURRENTE</w:t>
      </w:r>
      <w:r w:rsidRPr="00002C72">
        <w:rPr>
          <w:rFonts w:ascii="Palatino Linotype" w:hAnsi="Palatino Linotype"/>
          <w:i/>
          <w:iCs/>
          <w:color w:val="222222"/>
          <w:shd w:val="clear" w:color="auto" w:fill="FFFFFF"/>
        </w:rPr>
        <w:t xml:space="preserve"> el procedimiento para efectuar el pago de los derechos correspondientes por la expedición de las copias certificadas, el costo, el o lugares, días y horario en que tiene la posibilidad de efectuar el pago, así como el nombre del servidor público que lo atenderá,  para que una vez realizado el pago se proceda a la certificación de los documentos, para finalmente elaborar las versiones públicas que correspondan.”</w:t>
      </w:r>
      <w:r>
        <w:rPr>
          <w:rFonts w:ascii="Palatino Linotype" w:hAnsi="Palatino Linotype"/>
          <w:i/>
          <w:iCs/>
          <w:color w:val="222222"/>
          <w:shd w:val="clear" w:color="auto" w:fill="FFFFFF"/>
        </w:rPr>
        <w:t>(Sic)</w:t>
      </w:r>
    </w:p>
    <w:p w:rsidR="004043CD" w:rsidRPr="00002C72" w:rsidRDefault="004043CD" w:rsidP="004043CD">
      <w:pPr>
        <w:spacing w:before="240" w:after="360" w:line="240" w:lineRule="auto"/>
        <w:ind w:left="851" w:right="902"/>
        <w:contextualSpacing/>
        <w:jc w:val="both"/>
        <w:rPr>
          <w:rFonts w:ascii="Palatino Linotype" w:hAnsi="Palatino Linotype" w:cs="Arial"/>
          <w:i/>
          <w:lang w:eastAsia="es-MX"/>
        </w:rPr>
      </w:pPr>
    </w:p>
    <w:p w:rsidR="0036116F" w:rsidRPr="008D60B1" w:rsidRDefault="00B15AA9" w:rsidP="004043CD">
      <w:pPr>
        <w:spacing w:before="240" w:after="240" w:line="360" w:lineRule="auto"/>
        <w:jc w:val="both"/>
        <w:rPr>
          <w:rFonts w:ascii="Palatino Linotype" w:hAnsi="Palatino Linotype"/>
        </w:rPr>
      </w:pPr>
      <w:r>
        <w:rPr>
          <w:rFonts w:ascii="Palatino Linotype" w:hAnsi="Palatino Linotype"/>
        </w:rPr>
        <w:t xml:space="preserve">Ahora bien, </w:t>
      </w:r>
      <w:r w:rsidR="0036116F" w:rsidRPr="008D60B1">
        <w:rPr>
          <w:rFonts w:ascii="Palatino Linotype" w:hAnsi="Palatino Linotype"/>
        </w:rPr>
        <w:t>la razón del presente voto</w:t>
      </w:r>
      <w:r>
        <w:rPr>
          <w:rFonts w:ascii="Palatino Linotype" w:hAnsi="Palatino Linotype"/>
        </w:rPr>
        <w:t xml:space="preserve"> es cuando a la procedencia de las copias certificadas con costo</w:t>
      </w:r>
      <w:r w:rsidR="0036116F" w:rsidRPr="008D60B1">
        <w:rPr>
          <w:rFonts w:ascii="Palatino Linotype" w:hAnsi="Palatino Linotype"/>
        </w:rPr>
        <w:t>,</w:t>
      </w:r>
      <w:r>
        <w:rPr>
          <w:rFonts w:ascii="Palatino Linotype" w:hAnsi="Palatino Linotype"/>
        </w:rPr>
        <w:t xml:space="preserve"> debiendo ser sin costo;</w:t>
      </w:r>
      <w:r w:rsidR="0036116F" w:rsidRPr="008D60B1">
        <w:rPr>
          <w:rFonts w:ascii="Palatino Linotype" w:hAnsi="Palatino Linotype"/>
        </w:rPr>
        <w:t xml:space="preserve"> pues si bien comparto el deber para el Sujeto Obligado de dar atención a la solicitud de información, lo cual es incuestionable, lo cierto es que considero que la</w:t>
      </w:r>
      <w:r w:rsidR="00783812">
        <w:rPr>
          <w:rFonts w:ascii="Palatino Linotype" w:hAnsi="Palatino Linotype"/>
        </w:rPr>
        <w:t xml:space="preserve"> ponencia resolutora debió tener en cuenta </w:t>
      </w:r>
      <w:r w:rsidR="0036116F" w:rsidRPr="008D60B1">
        <w:rPr>
          <w:rFonts w:ascii="Palatino Linotype" w:hAnsi="Palatino Linotype"/>
        </w:rPr>
        <w:t xml:space="preserve">las </w:t>
      </w:r>
      <w:r w:rsidR="00783812">
        <w:rPr>
          <w:rFonts w:ascii="Palatino Linotype" w:hAnsi="Palatino Linotype"/>
        </w:rPr>
        <w:t xml:space="preserve">siguientes </w:t>
      </w:r>
      <w:r w:rsidR="0036116F" w:rsidRPr="008D60B1">
        <w:rPr>
          <w:rFonts w:ascii="Palatino Linotype" w:hAnsi="Palatino Linotype"/>
        </w:rPr>
        <w:t>consideraci</w:t>
      </w:r>
      <w:r w:rsidR="00783812">
        <w:rPr>
          <w:rFonts w:ascii="Palatino Linotype" w:hAnsi="Palatino Linotype"/>
        </w:rPr>
        <w:t>ones que a continuación explico:</w:t>
      </w:r>
    </w:p>
    <w:p w:rsidR="00B15AA9" w:rsidRPr="00DB6497" w:rsidRDefault="00B15AA9" w:rsidP="00B15AA9">
      <w:pPr>
        <w:spacing w:before="240" w:after="360" w:line="360" w:lineRule="auto"/>
        <w:jc w:val="both"/>
        <w:rPr>
          <w:rFonts w:ascii="Palatino Linotype" w:eastAsia="Calibri" w:hAnsi="Palatino Linotype" w:cs="Bookman Old Style"/>
        </w:rPr>
      </w:pPr>
      <w:r w:rsidRPr="00DB6497">
        <w:rPr>
          <w:rFonts w:ascii="Palatino Linotype" w:hAnsi="Palatino Linotype" w:cs="Arial"/>
        </w:rPr>
        <w:lastRenderedPageBreak/>
        <w:t>En esa tesitura</w:t>
      </w:r>
      <w:r>
        <w:rPr>
          <w:rFonts w:ascii="Palatino Linotype" w:hAnsi="Palatino Linotype" w:cs="Arial"/>
        </w:rPr>
        <w:t>,</w:t>
      </w:r>
      <w:r w:rsidRPr="00DB6497">
        <w:rPr>
          <w:rFonts w:ascii="Palatino Linotype" w:hAnsi="Palatino Linotype" w:cs="Arial"/>
        </w:rPr>
        <w:t xml:space="preserve"> es oportuno destacar que </w:t>
      </w:r>
      <w:r w:rsidRPr="00DB6497">
        <w:rPr>
          <w:rFonts w:ascii="Palatino Linotype" w:hAnsi="Palatino Linotype" w:cs="Arial"/>
          <w:lang w:eastAsia="es-MX"/>
        </w:rPr>
        <w:t xml:space="preserve">de conformidad con el artículo 164 de la Ley de Transparencia y Acceso a la Información Pública del Estado de México y Municipios, </w:t>
      </w:r>
      <w:r w:rsidRPr="00DB6497">
        <w:rPr>
          <w:rFonts w:ascii="Palatino Linotype" w:hAnsi="Palatino Linotype" w:cs="Arial"/>
          <w:b/>
          <w:lang w:eastAsia="es-MX"/>
        </w:rPr>
        <w:t xml:space="preserve">el acceso a la información se </w:t>
      </w:r>
      <w:r w:rsidRPr="00CA16E8">
        <w:rPr>
          <w:rFonts w:ascii="Palatino Linotype" w:hAnsi="Palatino Linotype" w:cs="Arial"/>
          <w:b/>
          <w:lang w:eastAsia="es-MX"/>
        </w:rPr>
        <w:t xml:space="preserve">otorgará </w:t>
      </w:r>
      <w:r w:rsidRPr="00DB6497">
        <w:rPr>
          <w:rFonts w:ascii="Palatino Linotype" w:hAnsi="Palatino Linotype" w:cs="Arial"/>
          <w:b/>
          <w:lang w:eastAsia="es-MX"/>
        </w:rPr>
        <w:t>en la modalidad de entrega elegida por el solicitante</w:t>
      </w:r>
      <w:r w:rsidRPr="00DB6497">
        <w:rPr>
          <w:rFonts w:ascii="Palatino Linotype" w:hAnsi="Palatino Linotype" w:cs="Arial"/>
          <w:lang w:eastAsia="es-MX"/>
        </w:rPr>
        <w:t xml:space="preserve">; y al ser la modalidad de entrega de información </w:t>
      </w:r>
      <w:r w:rsidRPr="00DB6497">
        <w:rPr>
          <w:rFonts w:ascii="Palatino Linotype" w:hAnsi="Palatino Linotype"/>
        </w:rPr>
        <w:t xml:space="preserve">en Copias Certificadas (con costo), de acuerdo a lo establecido por el artículo 174 de la Ley de Transparencia y Acceso a la Información Pública del Estado de México y Municipios, deberá cubrirse de manera previa a la entrega de la información, </w:t>
      </w:r>
      <w:r w:rsidRPr="00DB6497">
        <w:rPr>
          <w:rFonts w:ascii="Palatino Linotype" w:eastAsia="Calibri" w:hAnsi="Palatino Linotype" w:cs="Bookman Old Style"/>
        </w:rPr>
        <w:t>el costo de los materiales utilizados en la reproducción de la información.</w:t>
      </w:r>
    </w:p>
    <w:p w:rsidR="00B15AA9" w:rsidRPr="00DB6497" w:rsidRDefault="00B15AA9" w:rsidP="00B15AA9">
      <w:pPr>
        <w:spacing w:before="240" w:after="360" w:line="360" w:lineRule="auto"/>
        <w:jc w:val="both"/>
        <w:rPr>
          <w:rFonts w:ascii="Palatino Linotype" w:hAnsi="Palatino Linotype" w:cs="Arial"/>
        </w:rPr>
      </w:pPr>
      <w:r w:rsidRPr="00DB6497">
        <w:rPr>
          <w:rFonts w:ascii="Palatino Linotype" w:eastAsia="Calibri" w:hAnsi="Palatino Linotype" w:cs="Bookman Old Style"/>
        </w:rPr>
        <w:t>En este sentido es importante mencionar que l</w:t>
      </w:r>
      <w:r w:rsidRPr="00DB6497">
        <w:rPr>
          <w:rFonts w:ascii="Palatino Linotype" w:hAnsi="Palatino Linotype" w:cs="Arial"/>
        </w:rPr>
        <w:t>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este caso al señalar como c</w:t>
      </w:r>
      <w:r>
        <w:rPr>
          <w:rFonts w:ascii="Palatino Linotype" w:hAnsi="Palatino Linotype" w:cs="Arial"/>
        </w:rPr>
        <w:t xml:space="preserve">opias certificadas (con costo) </w:t>
      </w:r>
      <w:r w:rsidRPr="00DB6497">
        <w:rPr>
          <w:rFonts w:ascii="Palatino Linotype" w:hAnsi="Palatino Linotype" w:cs="Arial"/>
        </w:rPr>
        <w:t xml:space="preserve">la forma en la que requiere acceder a la información solicitada, según lo establece el artículo 155 fracción V de la Ley de Transparencia y Acceso a la Información Pública del Estado de México y Municipios, y en estricto sentido, la persona que desea acceder a la información, al elegir una modalidad de entrega que genere un costo como lo es el caso, </w:t>
      </w:r>
      <w:r w:rsidRPr="00CA16E8">
        <w:rPr>
          <w:rFonts w:ascii="Palatino Linotype" w:hAnsi="Palatino Linotype" w:cs="Arial"/>
        </w:rPr>
        <w:t xml:space="preserve">lo </w:t>
      </w:r>
      <w:r w:rsidRPr="00DB6497">
        <w:rPr>
          <w:rFonts w:ascii="Palatino Linotype" w:hAnsi="Palatino Linotype" w:cs="Arial"/>
        </w:rPr>
        <w:t>deberá cubrir</w:t>
      </w:r>
      <w:r w:rsidRPr="00CA16E8">
        <w:rPr>
          <w:rFonts w:ascii="Palatino Linotype" w:hAnsi="Palatino Linotype" w:cs="Arial"/>
        </w:rPr>
        <w:t xml:space="preserve"> </w:t>
      </w:r>
      <w:r w:rsidRPr="00DB6497">
        <w:rPr>
          <w:rFonts w:ascii="Palatino Linotype" w:hAnsi="Palatino Linotype" w:cs="Arial"/>
        </w:rPr>
        <w:t xml:space="preserve">para que le sea entregada la información que requiere, sin embargo, no se debe perder de vista que en el presente asunto se advierte que el </w:t>
      </w:r>
      <w:r w:rsidRPr="00CA16E8">
        <w:rPr>
          <w:rFonts w:ascii="Palatino Linotype" w:hAnsi="Palatino Linotype" w:cs="Arial"/>
          <w:b/>
        </w:rPr>
        <w:t>SUJETO OBLIGADO</w:t>
      </w:r>
      <w:r w:rsidRPr="00CA16E8">
        <w:rPr>
          <w:rFonts w:ascii="Palatino Linotype" w:hAnsi="Palatino Linotype" w:cs="Arial"/>
        </w:rPr>
        <w:t xml:space="preserve"> </w:t>
      </w:r>
      <w:r>
        <w:rPr>
          <w:rFonts w:ascii="Palatino Linotype" w:hAnsi="Palatino Linotype" w:cs="Arial"/>
        </w:rPr>
        <w:t xml:space="preserve">no </w:t>
      </w:r>
      <w:r w:rsidR="00A429E3">
        <w:rPr>
          <w:rFonts w:ascii="Palatino Linotype" w:hAnsi="Palatino Linotype" w:cs="Arial"/>
        </w:rPr>
        <w:t>atendió</w:t>
      </w:r>
      <w:r w:rsidRPr="00DB6497">
        <w:rPr>
          <w:rFonts w:ascii="Palatino Linotype" w:hAnsi="Palatino Linotype" w:cs="Arial"/>
        </w:rPr>
        <w:t xml:space="preserve"> de manera puntual la solicitud materia del presente asunto,</w:t>
      </w:r>
      <w:r>
        <w:rPr>
          <w:rFonts w:ascii="Palatino Linotype" w:hAnsi="Palatino Linotype" w:cs="Arial"/>
        </w:rPr>
        <w:t xml:space="preserve"> es decir no cumplió con lo establecido por el </w:t>
      </w:r>
      <w:r w:rsidR="00A429E3">
        <w:rPr>
          <w:rFonts w:ascii="Palatino Linotype" w:hAnsi="Palatino Linotype" w:cs="Arial"/>
        </w:rPr>
        <w:t>artículo</w:t>
      </w:r>
      <w:r>
        <w:rPr>
          <w:rFonts w:ascii="Palatino Linotype" w:hAnsi="Palatino Linotype" w:cs="Arial"/>
        </w:rPr>
        <w:t xml:space="preserve"> </w:t>
      </w:r>
      <w:r w:rsidR="00A429E3">
        <w:rPr>
          <w:rFonts w:ascii="Palatino Linotype" w:hAnsi="Palatino Linotype" w:cs="Arial"/>
        </w:rPr>
        <w:t xml:space="preserve">163, actualizándose la </w:t>
      </w:r>
      <w:r w:rsidRPr="00DB6497">
        <w:rPr>
          <w:rFonts w:ascii="Palatino Linotype" w:hAnsi="Palatino Linotype" w:cs="Arial"/>
        </w:rPr>
        <w:t>figura de negligencia</w:t>
      </w:r>
      <w:r w:rsidR="00A429E3">
        <w:rPr>
          <w:rFonts w:ascii="Palatino Linotype" w:hAnsi="Palatino Linotype" w:cs="Arial"/>
        </w:rPr>
        <w:t xml:space="preserve"> establecida en el </w:t>
      </w:r>
      <w:r w:rsidR="00A429E3">
        <w:rPr>
          <w:rFonts w:ascii="Palatino Linotype" w:hAnsi="Palatino Linotype" w:cs="Arial"/>
        </w:rPr>
        <w:lastRenderedPageBreak/>
        <w:t>artículo 234,ambos de la Ley</w:t>
      </w:r>
      <w:r w:rsidR="00A429E3" w:rsidRPr="00DB6497">
        <w:rPr>
          <w:rFonts w:ascii="Palatino Linotype" w:hAnsi="Palatino Linotype" w:cs="Arial"/>
        </w:rPr>
        <w:t xml:space="preserve"> de Transparencia y Acceso a la Información Pública del Estado de México y Municipios</w:t>
      </w:r>
      <w:r w:rsidR="00A429E3">
        <w:rPr>
          <w:rFonts w:ascii="Palatino Linotype" w:hAnsi="Palatino Linotype" w:cs="Arial"/>
        </w:rPr>
        <w:t xml:space="preserve"> </w:t>
      </w:r>
      <w:r w:rsidRPr="00DB6497">
        <w:rPr>
          <w:rFonts w:ascii="Palatino Linotype" w:hAnsi="Palatino Linotype" w:cs="Arial"/>
        </w:rPr>
        <w:t>, lo que provoca una afectación a este derecho.</w:t>
      </w:r>
    </w:p>
    <w:p w:rsidR="00B15AA9" w:rsidRPr="00DB6497" w:rsidRDefault="00B15AA9" w:rsidP="00B15AA9">
      <w:pPr>
        <w:spacing w:before="240" w:beforeAutospacing="1" w:afterAutospacing="1" w:line="360" w:lineRule="auto"/>
        <w:ind w:right="49"/>
        <w:contextualSpacing/>
        <w:jc w:val="both"/>
        <w:rPr>
          <w:rFonts w:ascii="Palatino Linotype" w:hAnsi="Palatino Linotype" w:cs="Arial"/>
        </w:rPr>
      </w:pPr>
      <w:r w:rsidRPr="00DB6497">
        <w:rPr>
          <w:rFonts w:ascii="Palatino Linotype" w:hAnsi="Palatino Linotype" w:cs="Arial"/>
        </w:rPr>
        <w:t xml:space="preserve">Por lo que, en este caso es evidente que el pago de la expedición de la información requerida en la modalidad elegida por el </w:t>
      </w:r>
      <w:r w:rsidR="00A429E3">
        <w:rPr>
          <w:rFonts w:ascii="Palatino Linotype" w:hAnsi="Palatino Linotype" w:cs="Arial"/>
          <w:b/>
        </w:rPr>
        <w:t xml:space="preserve">recurrente </w:t>
      </w:r>
      <w:r w:rsidRPr="00DB6497">
        <w:rPr>
          <w:rFonts w:ascii="Palatino Linotype" w:hAnsi="Palatino Linotype" w:cs="Arial"/>
        </w:rPr>
        <w:t>no resulta aplicable, para ello es dable señalar el contenido de</w:t>
      </w:r>
      <w:r w:rsidRPr="00057806">
        <w:rPr>
          <w:rFonts w:ascii="Palatino Linotype" w:hAnsi="Palatino Linotype" w:cs="Arial"/>
        </w:rPr>
        <w:t xml:space="preserve">l </w:t>
      </w:r>
      <w:r w:rsidRPr="00DB6497">
        <w:rPr>
          <w:rFonts w:ascii="Palatino Linotype" w:hAnsi="Palatino Linotype" w:cs="Arial"/>
        </w:rPr>
        <w:t>artículo 234</w:t>
      </w:r>
      <w:r w:rsidRPr="00057806">
        <w:rPr>
          <w:rFonts w:ascii="Palatino Linotype" w:hAnsi="Palatino Linotype" w:cs="Arial"/>
        </w:rPr>
        <w:t xml:space="preserve"> de </w:t>
      </w:r>
      <w:r w:rsidRPr="00DB6497">
        <w:rPr>
          <w:rFonts w:ascii="Palatino Linotype" w:hAnsi="Palatino Linotype" w:cs="Arial"/>
        </w:rPr>
        <w:t>la Ley de Transparencia y Acceso a la Información Pública de</w:t>
      </w:r>
      <w:r w:rsidRPr="00057806">
        <w:rPr>
          <w:rFonts w:ascii="Palatino Linotype" w:hAnsi="Palatino Linotype" w:cs="Arial"/>
        </w:rPr>
        <w:t xml:space="preserve"> </w:t>
      </w:r>
      <w:r w:rsidRPr="00DB6497">
        <w:rPr>
          <w:rFonts w:ascii="Palatino Linotype" w:hAnsi="Palatino Linotype" w:cs="Arial"/>
        </w:rPr>
        <w:t>l</w:t>
      </w:r>
      <w:r w:rsidRPr="00057806">
        <w:rPr>
          <w:rFonts w:ascii="Palatino Linotype" w:hAnsi="Palatino Linotype" w:cs="Arial"/>
        </w:rPr>
        <w:t>a</w:t>
      </w:r>
      <w:r w:rsidRPr="00DB6497">
        <w:rPr>
          <w:rFonts w:ascii="Palatino Linotype" w:hAnsi="Palatino Linotype" w:cs="Arial"/>
        </w:rPr>
        <w:t xml:space="preserve"> E</w:t>
      </w:r>
      <w:r w:rsidRPr="00057806">
        <w:rPr>
          <w:rFonts w:ascii="Palatino Linotype" w:hAnsi="Palatino Linotype" w:cs="Arial"/>
        </w:rPr>
        <w:t xml:space="preserve">ntidad que </w:t>
      </w:r>
      <w:r w:rsidRPr="00DB6497">
        <w:rPr>
          <w:rFonts w:ascii="Palatino Linotype" w:hAnsi="Palatino Linotype" w:cs="Arial"/>
        </w:rPr>
        <w:t>establece</w:t>
      </w:r>
      <w:r w:rsidRPr="00057806">
        <w:rPr>
          <w:rFonts w:ascii="Palatino Linotype" w:hAnsi="Palatino Linotype" w:cs="Arial"/>
        </w:rPr>
        <w:t xml:space="preserve">: </w:t>
      </w:r>
    </w:p>
    <w:p w:rsidR="00B15AA9" w:rsidRPr="00A429E3" w:rsidRDefault="00B15AA9" w:rsidP="00B15AA9">
      <w:pPr>
        <w:ind w:left="708"/>
        <w:rPr>
          <w:rFonts w:ascii="Palatino Linotype" w:hAnsi="Palatino Linotype" w:cs="Arial"/>
          <w:b/>
        </w:rPr>
      </w:pPr>
    </w:p>
    <w:p w:rsidR="00B15AA9" w:rsidRPr="00A429E3" w:rsidRDefault="00B15AA9" w:rsidP="00B15AA9">
      <w:pPr>
        <w:autoSpaceDE w:val="0"/>
        <w:autoSpaceDN w:val="0"/>
        <w:adjustRightInd w:val="0"/>
        <w:ind w:left="851" w:right="851"/>
        <w:jc w:val="both"/>
        <w:rPr>
          <w:rFonts w:ascii="Palatino Linotype" w:hAnsi="Palatino Linotype" w:cs="Bookman Old Style"/>
          <w:i/>
        </w:rPr>
      </w:pPr>
      <w:r w:rsidRPr="00A429E3">
        <w:rPr>
          <w:rFonts w:ascii="Palatino Linotype" w:hAnsi="Palatino Linotype" w:cs="Bookman Old Style,Bold"/>
          <w:b/>
          <w:bCs/>
          <w:i/>
        </w:rPr>
        <w:t xml:space="preserve">Artículo 234. </w:t>
      </w:r>
      <w:r w:rsidRPr="00A429E3">
        <w:rPr>
          <w:rFonts w:ascii="Palatino Linotype" w:hAnsi="Palatino Linotype" w:cs="Bookman Old Style"/>
          <w:b/>
          <w:i/>
          <w:u w:val="single"/>
        </w:rPr>
        <w:t>En caso que el Instituto determine que por negligencia no se hubiere atendido alguna solicitud</w:t>
      </w:r>
      <w:r w:rsidRPr="00A429E3">
        <w:rPr>
          <w:rFonts w:ascii="Palatino Linotype" w:hAnsi="Palatino Linotype" w:cs="Bookman Old Style"/>
          <w:i/>
        </w:rPr>
        <w:t xml:space="preserve"> en los términos de esta Ley, </w:t>
      </w:r>
      <w:r w:rsidRPr="00A429E3">
        <w:rPr>
          <w:rFonts w:ascii="Palatino Linotype" w:hAnsi="Palatino Linotype" w:cs="Bookman Old Style"/>
          <w:b/>
          <w:i/>
          <w:u w:val="single"/>
        </w:rPr>
        <w:t>requerirá a la Unidad de Transparencia correspondiente para que proporcione la información sin costo alguno para el solicitante</w:t>
      </w:r>
      <w:r w:rsidRPr="00A429E3">
        <w:rPr>
          <w:rFonts w:ascii="Palatino Linotype" w:hAnsi="Palatino Linotype" w:cs="Bookman Old Style"/>
          <w:i/>
        </w:rPr>
        <w:t>, dentro del plazo de quince días hábiles a partir del requerimiento.</w:t>
      </w:r>
    </w:p>
    <w:p w:rsidR="00B15AA9" w:rsidRDefault="00B15AA9" w:rsidP="00B15AA9">
      <w:pPr>
        <w:autoSpaceDE w:val="0"/>
        <w:autoSpaceDN w:val="0"/>
        <w:adjustRightInd w:val="0"/>
        <w:rPr>
          <w:rFonts w:ascii="Palatino Linotype" w:hAnsi="Palatino Linotype" w:cs="Arial"/>
        </w:rPr>
      </w:pPr>
    </w:p>
    <w:p w:rsidR="0036116F" w:rsidRDefault="00A429E3" w:rsidP="00DA7E1D">
      <w:pPr>
        <w:spacing w:before="240" w:beforeAutospacing="1" w:afterAutospacing="1" w:line="360" w:lineRule="auto"/>
        <w:ind w:right="49"/>
        <w:contextualSpacing/>
        <w:jc w:val="both"/>
        <w:rPr>
          <w:rFonts w:ascii="Palatino Linotype" w:hAnsi="Palatino Linotype"/>
        </w:rPr>
      </w:pPr>
      <w:r w:rsidRPr="00A429E3">
        <w:rPr>
          <w:rFonts w:ascii="Palatino Linotype" w:hAnsi="Palatino Linotype"/>
        </w:rPr>
        <w:t xml:space="preserve">Por consiguiente, la ponencia que resolvió debió determinar la expedición de la información que se ordena en el resolutivo </w:t>
      </w:r>
      <w:r>
        <w:rPr>
          <w:rFonts w:ascii="Palatino Linotype" w:hAnsi="Palatino Linotype"/>
        </w:rPr>
        <w:t>segundo a través de copias certificadas pero sin costo, por la negligencia en que incurrió el Sujeto Obligado al no dar respuesta a la solicitud de acceso a la informaci</w:t>
      </w:r>
      <w:r w:rsidR="00DA7E1D">
        <w:rPr>
          <w:rFonts w:ascii="Palatino Linotype" w:hAnsi="Palatino Linotype"/>
        </w:rPr>
        <w:t>ón del recurrente, d</w:t>
      </w:r>
      <w:r w:rsidR="00CF47A7">
        <w:rPr>
          <w:rFonts w:ascii="Palatino Linotype" w:hAnsi="Palatino Linotype"/>
        </w:rPr>
        <w:t>e ahí</w:t>
      </w:r>
      <w:r w:rsidR="0036116F" w:rsidRPr="008D60B1">
        <w:rPr>
          <w:rFonts w:ascii="Palatino Linotype" w:hAnsi="Palatino Linotype"/>
        </w:rPr>
        <w:t xml:space="preserve"> que n</w:t>
      </w:r>
      <w:r w:rsidR="00CF47A7">
        <w:rPr>
          <w:rFonts w:ascii="Palatino Linotype" w:hAnsi="Palatino Linotype"/>
        </w:rPr>
        <w:t>o</w:t>
      </w:r>
      <w:r w:rsidR="00DA7E1D">
        <w:rPr>
          <w:rFonts w:ascii="Palatino Linotype" w:hAnsi="Palatino Linotype"/>
        </w:rPr>
        <w:t xml:space="preserve"> se comparta los términos del resolutivo segundo del fallo que nos ocupa.</w:t>
      </w:r>
    </w:p>
    <w:p w:rsidR="00DA7E1D" w:rsidRPr="008D60B1" w:rsidRDefault="00DA7E1D" w:rsidP="00DA7E1D">
      <w:pPr>
        <w:spacing w:before="240" w:beforeAutospacing="1" w:afterAutospacing="1" w:line="360" w:lineRule="auto"/>
        <w:ind w:right="49"/>
        <w:contextualSpacing/>
        <w:jc w:val="both"/>
        <w:rPr>
          <w:rFonts w:ascii="Palatino Linotype" w:hAnsi="Palatino Linotype"/>
        </w:rPr>
      </w:pPr>
    </w:p>
    <w:p w:rsidR="00F74468" w:rsidRPr="008D60B1" w:rsidRDefault="0036116F" w:rsidP="00941B56">
      <w:pPr>
        <w:spacing w:before="240" w:after="0" w:line="360" w:lineRule="auto"/>
        <w:jc w:val="both"/>
        <w:rPr>
          <w:rFonts w:ascii="Palatino Linotype" w:hAnsi="Palatino Linotype" w:cs="Arial"/>
        </w:rPr>
      </w:pPr>
      <w:r w:rsidRPr="008D60B1">
        <w:rPr>
          <w:rFonts w:ascii="Palatino Linotype" w:hAnsi="Palatino Linotype" w:cs="Arial"/>
        </w:rPr>
        <w:t xml:space="preserve">Por todo lo expuesto es que formulo el presente voto particular, en los términos precisados, </w:t>
      </w:r>
      <w:r w:rsidR="00941B56" w:rsidRPr="008D60B1">
        <w:rPr>
          <w:rFonts w:ascii="Palatino Linotype" w:hAnsi="Palatino Linotype" w:cs="Arial"/>
        </w:rPr>
        <w:t xml:space="preserve">concluyendo </w:t>
      </w:r>
      <w:r w:rsidRPr="008D60B1">
        <w:rPr>
          <w:rFonts w:ascii="Palatino Linotype" w:hAnsi="Palatino Linotype" w:cs="Arial"/>
        </w:rPr>
        <w:t xml:space="preserve">que las consideraciones aquí expuestas hubieran resultado importantes para </w:t>
      </w:r>
      <w:r w:rsidRPr="008D60B1">
        <w:rPr>
          <w:rFonts w:ascii="Palatino Linotype" w:hAnsi="Palatino Linotype" w:cs="Arial"/>
        </w:rPr>
        <w:lastRenderedPageBreak/>
        <w:t>ordenar la entrega de la información motivo del recurso de revisión que fue resuelto por el Pleno</w:t>
      </w:r>
      <w:r w:rsidR="00DA7E1D">
        <w:rPr>
          <w:rFonts w:ascii="Palatino Linotype" w:hAnsi="Palatino Linotype" w:cs="Arial"/>
        </w:rPr>
        <w:t xml:space="preserve"> de este Instituto, mencionado.</w:t>
      </w:r>
    </w:p>
    <w:p w:rsidR="00F74468" w:rsidRPr="008D60B1" w:rsidRDefault="00F74468" w:rsidP="00F74468">
      <w:pPr>
        <w:spacing w:after="0" w:line="360" w:lineRule="auto"/>
        <w:rPr>
          <w:rFonts w:ascii="Palatino Linotype" w:hAnsi="Palatino Linotype"/>
          <w:b/>
          <w:sz w:val="23"/>
          <w:szCs w:val="23"/>
        </w:rPr>
      </w:pPr>
    </w:p>
    <w:p w:rsidR="00F74468" w:rsidRPr="008D60B1" w:rsidRDefault="00BB3F54" w:rsidP="00F74468">
      <w:pPr>
        <w:spacing w:after="0" w:line="240" w:lineRule="auto"/>
        <w:jc w:val="center"/>
        <w:rPr>
          <w:rFonts w:ascii="Palatino Linotype" w:hAnsi="Palatino Linotype"/>
          <w:b/>
          <w:sz w:val="23"/>
          <w:szCs w:val="23"/>
        </w:rPr>
      </w:pPr>
      <w:r>
        <w:rPr>
          <w:rFonts w:ascii="Palatino Linotype" w:hAnsi="Palatino Linotype"/>
          <w:b/>
          <w:sz w:val="23"/>
          <w:szCs w:val="23"/>
        </w:rPr>
        <w:t xml:space="preserve">Mtro. </w:t>
      </w:r>
      <w:r w:rsidR="00F74468" w:rsidRPr="008D60B1">
        <w:rPr>
          <w:rFonts w:ascii="Palatino Linotype" w:hAnsi="Palatino Linotype"/>
          <w:b/>
          <w:sz w:val="23"/>
          <w:szCs w:val="23"/>
        </w:rPr>
        <w:t>Javier Martínez Cruz</w:t>
      </w:r>
    </w:p>
    <w:p w:rsidR="00F74468" w:rsidRPr="008D60B1" w:rsidRDefault="00F74468" w:rsidP="00F74468">
      <w:pPr>
        <w:spacing w:after="0" w:line="240" w:lineRule="auto"/>
        <w:jc w:val="center"/>
        <w:rPr>
          <w:rFonts w:ascii="Palatino Linotype" w:hAnsi="Palatino Linotype"/>
          <w:sz w:val="23"/>
          <w:szCs w:val="23"/>
        </w:rPr>
      </w:pPr>
      <w:r w:rsidRPr="008D60B1">
        <w:rPr>
          <w:rFonts w:ascii="Palatino Linotype" w:hAnsi="Palatino Linotype"/>
          <w:sz w:val="23"/>
          <w:szCs w:val="23"/>
        </w:rPr>
        <w:t>Comisionado</w:t>
      </w:r>
    </w:p>
    <w:p w:rsidR="004102EB" w:rsidRPr="0036116F" w:rsidRDefault="00CF47A7" w:rsidP="0036116F">
      <w:pPr>
        <w:spacing w:after="0" w:line="240" w:lineRule="auto"/>
        <w:jc w:val="center"/>
        <w:rPr>
          <w:rFonts w:ascii="Palatino Linotype" w:hAnsi="Palatino Linotype"/>
          <w:sz w:val="23"/>
          <w:szCs w:val="23"/>
        </w:rPr>
      </w:pPr>
      <w:r>
        <w:rPr>
          <w:rFonts w:ascii="Palatino Linotype" w:hAnsi="Palatino Linotype"/>
          <w:sz w:val="23"/>
          <w:szCs w:val="23"/>
        </w:rPr>
        <w:t>(Rúbrica)</w:t>
      </w:r>
    </w:p>
    <w:sectPr w:rsidR="004102EB" w:rsidRPr="0036116F"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587" w:rsidRDefault="002C0587" w:rsidP="00F74468">
      <w:pPr>
        <w:spacing w:after="0" w:line="240" w:lineRule="auto"/>
      </w:pPr>
      <w:r>
        <w:separator/>
      </w:r>
    </w:p>
  </w:endnote>
  <w:endnote w:type="continuationSeparator" w:id="0">
    <w:p w:rsidR="002C0587" w:rsidRDefault="002C0587" w:rsidP="00F7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4A53F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F703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F703C">
      <w:rPr>
        <w:rFonts w:ascii="Arial" w:hAnsi="Arial" w:cs="Arial"/>
        <w:b/>
        <w:bCs/>
        <w:noProof/>
        <w:sz w:val="20"/>
        <w:szCs w:val="20"/>
      </w:rPr>
      <w:t>7</w:t>
    </w:r>
    <w:r w:rsidRPr="00986599">
      <w:rPr>
        <w:rFonts w:ascii="Arial" w:hAnsi="Arial" w:cs="Arial"/>
        <w:b/>
        <w:bCs/>
        <w:sz w:val="20"/>
        <w:szCs w:val="20"/>
      </w:rPr>
      <w:fldChar w:fldCharType="end"/>
    </w:r>
  </w:p>
  <w:p w:rsidR="00D758BE" w:rsidRDefault="002C058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587" w:rsidRDefault="002C0587" w:rsidP="00F74468">
      <w:pPr>
        <w:spacing w:after="0" w:line="240" w:lineRule="auto"/>
      </w:pPr>
      <w:r>
        <w:separator/>
      </w:r>
    </w:p>
  </w:footnote>
  <w:footnote w:type="continuationSeparator" w:id="0">
    <w:p w:rsidR="002C0587" w:rsidRDefault="002C0587" w:rsidP="00F74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A53F2">
    <w:pPr>
      <w:pStyle w:val="Encabezado"/>
    </w:pPr>
    <w:r>
      <w:rPr>
        <w:noProof/>
        <w:lang w:val="es-MX" w:eastAsia="es-MX"/>
      </w:rPr>
      <mc:AlternateContent>
        <mc:Choice Requires="wps">
          <w:drawing>
            <wp:anchor distT="0" distB="0" distL="114300" distR="114300" simplePos="0" relativeHeight="251659264" behindDoc="1" locked="0" layoutInCell="0" allowOverlap="1" wp14:anchorId="5C1395AF" wp14:editId="7662328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1395A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A53F2"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039BB6A" wp14:editId="31D79EE9">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2C0587" w:rsidP="007263BB">
    <w:pPr>
      <w:pStyle w:val="Encabezado"/>
      <w:jc w:val="right"/>
      <w:rPr>
        <w:rFonts w:ascii="Arial" w:hAnsi="Arial" w:cs="Arial"/>
        <w:sz w:val="20"/>
        <w:szCs w:val="20"/>
      </w:rPr>
    </w:pPr>
  </w:p>
  <w:p w:rsidR="00D758BE" w:rsidRDefault="002C0587" w:rsidP="007263BB">
    <w:pPr>
      <w:pStyle w:val="Encabezado"/>
      <w:jc w:val="right"/>
      <w:rPr>
        <w:rFonts w:ascii="Arial" w:hAnsi="Arial" w:cs="Arial"/>
        <w:sz w:val="20"/>
        <w:szCs w:val="20"/>
      </w:rPr>
    </w:pPr>
  </w:p>
  <w:p w:rsidR="00706042" w:rsidRPr="00563D0F" w:rsidRDefault="004A53F2"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4043CD" w:rsidRDefault="004A53F2"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004043CD">
      <w:rPr>
        <w:rFonts w:ascii="Palatino Linotype" w:hAnsi="Palatino Linotype" w:cs="Arial"/>
        <w:b/>
        <w:sz w:val="20"/>
        <w:szCs w:val="20"/>
      </w:rPr>
      <w:t xml:space="preserve">REVISIÓN: </w:t>
    </w:r>
    <w:r w:rsidR="004043CD" w:rsidRPr="004043CD">
      <w:rPr>
        <w:rFonts w:ascii="Palatino Linotype" w:hAnsi="Palatino Linotype" w:cs="Arial"/>
        <w:b/>
        <w:sz w:val="20"/>
        <w:szCs w:val="20"/>
      </w:rPr>
      <w:t xml:space="preserve">01102/INFOEM/IP/RR/2019 </w:t>
    </w:r>
  </w:p>
  <w:p w:rsidR="004043CD" w:rsidRDefault="004043CD" w:rsidP="00EE5FB0">
    <w:pPr>
      <w:pStyle w:val="Encabezado"/>
      <w:jc w:val="right"/>
      <w:rPr>
        <w:rFonts w:ascii="Palatino Linotype" w:hAnsi="Palatino Linotype" w:cs="Arial"/>
        <w:b/>
        <w:sz w:val="20"/>
        <w:szCs w:val="20"/>
      </w:rPr>
    </w:pPr>
    <w:r w:rsidRPr="004043CD">
      <w:rPr>
        <w:rFonts w:ascii="Palatino Linotype" w:hAnsi="Palatino Linotype" w:cs="Arial"/>
        <w:b/>
        <w:sz w:val="20"/>
        <w:szCs w:val="20"/>
      </w:rPr>
      <w:t>Y</w:t>
    </w:r>
    <w:r w:rsidRPr="004043CD">
      <w:rPr>
        <w:rFonts w:ascii="Palatino Linotype" w:hAnsi="Palatino Linotype" w:cs="Arial"/>
        <w:b/>
        <w:sz w:val="20"/>
        <w:szCs w:val="20"/>
      </w:rPr>
      <w:t xml:space="preserve"> </w:t>
    </w:r>
  </w:p>
  <w:p w:rsidR="00EE5FB0" w:rsidRPr="00563D0F" w:rsidRDefault="004043CD" w:rsidP="00EE5FB0">
    <w:pPr>
      <w:pStyle w:val="Encabezado"/>
      <w:jc w:val="right"/>
      <w:rPr>
        <w:rFonts w:ascii="Palatino Linotype" w:hAnsi="Palatino Linotype" w:cs="Arial"/>
        <w:b/>
        <w:sz w:val="20"/>
        <w:szCs w:val="20"/>
      </w:rPr>
    </w:pPr>
    <w:r w:rsidRPr="004043CD">
      <w:rPr>
        <w:rFonts w:ascii="Palatino Linotype" w:hAnsi="Palatino Linotype" w:cs="Arial"/>
        <w:b/>
        <w:sz w:val="20"/>
        <w:szCs w:val="20"/>
      </w:rPr>
      <w:t>01103/INFOEM/IP/RR/2019</w:t>
    </w:r>
  </w:p>
  <w:p w:rsidR="00D758BE" w:rsidRDefault="002C0587" w:rsidP="007263BB">
    <w:pPr>
      <w:pStyle w:val="Encabezado"/>
      <w:jc w:val="right"/>
      <w:rPr>
        <w:rFonts w:ascii="Palatino Linotype" w:hAnsi="Palatino Linotype" w:cs="Arial"/>
        <w:sz w:val="20"/>
        <w:szCs w:val="20"/>
      </w:rPr>
    </w:pPr>
  </w:p>
  <w:p w:rsidR="00233AB2" w:rsidRDefault="002C0587"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lowerLetter"/>
      <w:lvlText w:val="%1)"/>
      <w:lvlJc w:val="left"/>
      <w:pPr>
        <w:ind w:left="943" w:hanging="239"/>
      </w:pPr>
      <w:rPr>
        <w:rFonts w:ascii="Times New Roman" w:hAnsi="Times New Roman" w:cs="Times New Roman"/>
        <w:b w:val="0"/>
        <w:bCs w:val="0"/>
        <w:i/>
        <w:iCs/>
        <w:spacing w:val="2"/>
        <w:w w:val="89"/>
        <w:sz w:val="22"/>
        <w:szCs w:val="22"/>
      </w:rPr>
    </w:lvl>
    <w:lvl w:ilvl="1">
      <w:numFmt w:val="bullet"/>
      <w:lvlText w:val="•"/>
      <w:lvlJc w:val="left"/>
      <w:pPr>
        <w:ind w:left="1726" w:hanging="239"/>
      </w:pPr>
    </w:lvl>
    <w:lvl w:ilvl="2">
      <w:numFmt w:val="bullet"/>
      <w:lvlText w:val="•"/>
      <w:lvlJc w:val="left"/>
      <w:pPr>
        <w:ind w:left="2512" w:hanging="239"/>
      </w:pPr>
    </w:lvl>
    <w:lvl w:ilvl="3">
      <w:numFmt w:val="bullet"/>
      <w:lvlText w:val="•"/>
      <w:lvlJc w:val="left"/>
      <w:pPr>
        <w:ind w:left="3298" w:hanging="239"/>
      </w:pPr>
    </w:lvl>
    <w:lvl w:ilvl="4">
      <w:numFmt w:val="bullet"/>
      <w:lvlText w:val="•"/>
      <w:lvlJc w:val="left"/>
      <w:pPr>
        <w:ind w:left="4084" w:hanging="239"/>
      </w:pPr>
    </w:lvl>
    <w:lvl w:ilvl="5">
      <w:numFmt w:val="bullet"/>
      <w:lvlText w:val="•"/>
      <w:lvlJc w:val="left"/>
      <w:pPr>
        <w:ind w:left="4870" w:hanging="239"/>
      </w:pPr>
    </w:lvl>
    <w:lvl w:ilvl="6">
      <w:numFmt w:val="bullet"/>
      <w:lvlText w:val="•"/>
      <w:lvlJc w:val="left"/>
      <w:pPr>
        <w:ind w:left="5656" w:hanging="239"/>
      </w:pPr>
    </w:lvl>
    <w:lvl w:ilvl="7">
      <w:numFmt w:val="bullet"/>
      <w:lvlText w:val="•"/>
      <w:lvlJc w:val="left"/>
      <w:pPr>
        <w:ind w:left="6442" w:hanging="239"/>
      </w:pPr>
    </w:lvl>
    <w:lvl w:ilvl="8">
      <w:numFmt w:val="bullet"/>
      <w:lvlText w:val="•"/>
      <w:lvlJc w:val="left"/>
      <w:pPr>
        <w:ind w:left="7228" w:hanging="239"/>
      </w:pPr>
    </w:lvl>
  </w:abstractNum>
  <w:abstractNum w:abstractNumId="1" w15:restartNumberingAfterBreak="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68"/>
    <w:rsid w:val="000F7EB3"/>
    <w:rsid w:val="00170CDF"/>
    <w:rsid w:val="00284ABE"/>
    <w:rsid w:val="002C0587"/>
    <w:rsid w:val="002C6576"/>
    <w:rsid w:val="0036116F"/>
    <w:rsid w:val="003F61A7"/>
    <w:rsid w:val="004043CD"/>
    <w:rsid w:val="00466937"/>
    <w:rsid w:val="004A53F2"/>
    <w:rsid w:val="00504068"/>
    <w:rsid w:val="005A0D29"/>
    <w:rsid w:val="005A1AE6"/>
    <w:rsid w:val="005D7FA9"/>
    <w:rsid w:val="005F703C"/>
    <w:rsid w:val="00780754"/>
    <w:rsid w:val="00783812"/>
    <w:rsid w:val="007A31EC"/>
    <w:rsid w:val="00803480"/>
    <w:rsid w:val="008D60B1"/>
    <w:rsid w:val="00941B56"/>
    <w:rsid w:val="00963262"/>
    <w:rsid w:val="00A24685"/>
    <w:rsid w:val="00A429E3"/>
    <w:rsid w:val="00AE6F70"/>
    <w:rsid w:val="00B15AA9"/>
    <w:rsid w:val="00B87BB8"/>
    <w:rsid w:val="00BB3F54"/>
    <w:rsid w:val="00C230BA"/>
    <w:rsid w:val="00C36A74"/>
    <w:rsid w:val="00C5634F"/>
    <w:rsid w:val="00CD4BA4"/>
    <w:rsid w:val="00CF47A7"/>
    <w:rsid w:val="00D22E21"/>
    <w:rsid w:val="00D8061F"/>
    <w:rsid w:val="00DA7E1D"/>
    <w:rsid w:val="00E977B7"/>
    <w:rsid w:val="00F74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C2509E-621A-47BD-9319-FC8DE3FC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6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44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446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446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1"/>
    <w:qFormat/>
    <w:rsid w:val="00F74468"/>
    <w:pPr>
      <w:ind w:left="720"/>
      <w:contextualSpacing/>
    </w:pPr>
  </w:style>
  <w:style w:type="character" w:customStyle="1" w:styleId="PrrafodelistaCar">
    <w:name w:val="Párrafo de lista Car"/>
    <w:link w:val="Prrafodelista"/>
    <w:uiPriority w:val="34"/>
    <w:locked/>
    <w:rsid w:val="00F7446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11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116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36116F"/>
    <w:rPr>
      <w:vertAlign w:val="superscript"/>
    </w:rPr>
  </w:style>
  <w:style w:type="paragraph" w:styleId="Textodeglobo">
    <w:name w:val="Balloon Text"/>
    <w:basedOn w:val="Normal"/>
    <w:link w:val="TextodegloboCar"/>
    <w:uiPriority w:val="99"/>
    <w:semiHidden/>
    <w:unhideWhenUsed/>
    <w:rsid w:val="005D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A9"/>
    <w:rPr>
      <w:rFonts w:ascii="Segoe UI" w:hAnsi="Segoe UI" w:cs="Segoe UI"/>
      <w:sz w:val="18"/>
      <w:szCs w:val="18"/>
    </w:rPr>
  </w:style>
  <w:style w:type="paragraph" w:styleId="Textoindependiente">
    <w:name w:val="Body Text"/>
    <w:basedOn w:val="Normal"/>
    <w:link w:val="TextoindependienteCar"/>
    <w:uiPriority w:val="1"/>
    <w:qFormat/>
    <w:rsid w:val="00170CDF"/>
    <w:pPr>
      <w:autoSpaceDE w:val="0"/>
      <w:autoSpaceDN w:val="0"/>
      <w:adjustRightInd w:val="0"/>
      <w:spacing w:before="47" w:after="0" w:line="240" w:lineRule="auto"/>
      <w:ind w:left="208"/>
    </w:pPr>
    <w:rPr>
      <w:rFonts w:ascii="Times New Roman" w:hAnsi="Times New Roman" w:cs="Times New Roman"/>
      <w:i/>
      <w:iCs/>
      <w:sz w:val="19"/>
      <w:szCs w:val="19"/>
    </w:rPr>
  </w:style>
  <w:style w:type="character" w:customStyle="1" w:styleId="TextoindependienteCar">
    <w:name w:val="Texto independiente Car"/>
    <w:basedOn w:val="Fuentedeprrafopredeter"/>
    <w:link w:val="Textoindependiente"/>
    <w:uiPriority w:val="1"/>
    <w:rsid w:val="00170CDF"/>
    <w:rPr>
      <w:rFonts w:ascii="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1624</Words>
  <Characters>8641</Characters>
  <Application>Microsoft Office Word</Application>
  <DocSecurity>0</DocSecurity>
  <Lines>144</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2019-05-17T15:12:00Z</cp:lastPrinted>
  <dcterms:created xsi:type="dcterms:W3CDTF">2019-05-17T14:23:00Z</dcterms:created>
  <dcterms:modified xsi:type="dcterms:W3CDTF">2019-05-17T15:17:00Z</dcterms:modified>
</cp:coreProperties>
</file>